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17B" w:rsidRPr="000326E9" w:rsidRDefault="008C717B" w:rsidP="008C717B">
      <w:pPr>
        <w:spacing w:after="0" w:line="280" w:lineRule="exact"/>
        <w:rPr>
          <w:b/>
          <w:bCs/>
          <w:sz w:val="24"/>
          <w:szCs w:val="24"/>
        </w:rPr>
      </w:pPr>
      <w:r w:rsidRPr="000326E9">
        <w:rPr>
          <w:b/>
          <w:bCs/>
          <w:sz w:val="24"/>
          <w:szCs w:val="24"/>
        </w:rPr>
        <w:t>Over het decreet basisbereikbaarheid</w:t>
      </w:r>
    </w:p>
    <w:p w:rsidR="008C717B" w:rsidRDefault="008C717B" w:rsidP="008C717B">
      <w:pPr>
        <w:spacing w:after="0" w:line="260" w:lineRule="exact"/>
        <w:rPr>
          <w:u w:val="single"/>
        </w:rPr>
      </w:pPr>
    </w:p>
    <w:p w:rsidR="008C717B" w:rsidRDefault="008C717B" w:rsidP="008C717B">
      <w:pPr>
        <w:spacing w:after="0" w:line="260" w:lineRule="exact"/>
        <w:rPr>
          <w:u w:val="single"/>
        </w:rPr>
      </w:pPr>
    </w:p>
    <w:p w:rsidR="008C717B" w:rsidRDefault="008C717B" w:rsidP="008C717B">
      <w:pPr>
        <w:spacing w:after="0" w:line="260" w:lineRule="exact"/>
        <w:rPr>
          <w:u w:val="single"/>
        </w:rPr>
      </w:pPr>
      <w:r>
        <w:rPr>
          <w:u w:val="single"/>
        </w:rPr>
        <w:t>V</w:t>
      </w:r>
      <w:r w:rsidRPr="00BB4206">
        <w:rPr>
          <w:u w:val="single"/>
        </w:rPr>
        <w:t>ervoerregio’s</w:t>
      </w:r>
    </w:p>
    <w:p w:rsidR="008C717B" w:rsidRPr="00BB4206" w:rsidRDefault="008C717B" w:rsidP="008C717B">
      <w:pPr>
        <w:spacing w:after="0" w:line="260" w:lineRule="exact"/>
        <w:rPr>
          <w:u w:val="single"/>
        </w:rPr>
      </w:pPr>
    </w:p>
    <w:p w:rsidR="008C717B" w:rsidRPr="00BB4206" w:rsidRDefault="008C717B" w:rsidP="008C717B">
      <w:pPr>
        <w:shd w:val="clear" w:color="auto" w:fill="FFFFFF"/>
        <w:spacing w:after="0" w:line="260" w:lineRule="exact"/>
        <w:rPr>
          <w:rFonts w:ascii="Calibri" w:eastAsia="Times New Roman" w:hAnsi="Calibri" w:cs="Calibri"/>
          <w:lang w:eastAsia="nl-BE"/>
        </w:rPr>
      </w:pPr>
      <w:r w:rsidRPr="00BB4206">
        <w:rPr>
          <w:rFonts w:ascii="Calibri" w:eastAsia="Times New Roman" w:hAnsi="Calibri" w:cs="Calibri"/>
          <w:color w:val="333333"/>
          <w:lang w:eastAsia="nl-BE"/>
        </w:rPr>
        <w:t xml:space="preserve">Via het decreet op basisbereikbaarheid wil de Vlaamse overheid een </w:t>
      </w:r>
      <w:proofErr w:type="spellStart"/>
      <w:r w:rsidRPr="00BB4206">
        <w:rPr>
          <w:rFonts w:ascii="Calibri" w:eastAsia="Times New Roman" w:hAnsi="Calibri" w:cs="Calibri"/>
          <w:color w:val="333333"/>
          <w:lang w:eastAsia="nl-BE"/>
        </w:rPr>
        <w:t>vraaggedreven</w:t>
      </w:r>
      <w:proofErr w:type="spellEnd"/>
      <w:r w:rsidRPr="00BB4206">
        <w:rPr>
          <w:rFonts w:ascii="Calibri" w:eastAsia="Times New Roman" w:hAnsi="Calibri" w:cs="Calibri"/>
          <w:color w:val="333333"/>
          <w:lang w:eastAsia="nl-BE"/>
        </w:rPr>
        <w:t xml:space="preserve"> openbaar vervoer mét inspraak van de steden en gemeenten. Het openbaar vervoer is voortaan opgebouwd uit vier lagen. Daartoe werd Vlaanderen in </w:t>
      </w:r>
      <w:r w:rsidRPr="00BB4206">
        <w:rPr>
          <w:rFonts w:ascii="Calibri" w:eastAsia="Times New Roman" w:hAnsi="Calibri" w:cs="Calibri"/>
          <w:lang w:eastAsia="nl-BE"/>
        </w:rPr>
        <w:t xml:space="preserve">15 vervoerregio’s ingedeeld. </w:t>
      </w:r>
    </w:p>
    <w:p w:rsidR="008C717B" w:rsidRPr="00BB4206" w:rsidRDefault="008C717B" w:rsidP="008C717B">
      <w:pPr>
        <w:shd w:val="clear" w:color="auto" w:fill="FFFFFF"/>
        <w:spacing w:after="0" w:line="260" w:lineRule="exact"/>
        <w:rPr>
          <w:rFonts w:ascii="Calibri" w:eastAsia="Times New Roman" w:hAnsi="Calibri" w:cs="Calibri"/>
          <w:lang w:eastAsia="nl-BE"/>
        </w:rPr>
      </w:pPr>
    </w:p>
    <w:p w:rsidR="008C717B" w:rsidRPr="00BB4206" w:rsidRDefault="008C717B" w:rsidP="008C717B">
      <w:pPr>
        <w:shd w:val="clear" w:color="auto" w:fill="FFFFFF"/>
        <w:spacing w:after="0" w:line="260" w:lineRule="exact"/>
        <w:rPr>
          <w:rFonts w:ascii="Calibri" w:eastAsia="Times New Roman" w:hAnsi="Calibri" w:cs="Calibri"/>
          <w:color w:val="333333"/>
          <w:lang w:eastAsia="nl-BE"/>
        </w:rPr>
      </w:pPr>
      <w:r w:rsidRPr="00BB4206">
        <w:rPr>
          <w:rFonts w:ascii="Calibri" w:eastAsia="Times New Roman" w:hAnsi="Calibri" w:cs="Calibri"/>
          <w:lang w:eastAsia="nl-BE"/>
        </w:rPr>
        <w:t>Elke vervoerregio maakt een eigen strategisch vervoerplan (voor openbaar vervoer, fiets, vrachtvervoer, autovervoer) o</w:t>
      </w:r>
      <w:r w:rsidRPr="00BB4206">
        <w:rPr>
          <w:rFonts w:ascii="Calibri" w:eastAsia="Times New Roman" w:hAnsi="Calibri" w:cs="Calibri"/>
          <w:color w:val="333333"/>
          <w:lang w:eastAsia="nl-BE"/>
        </w:rPr>
        <w:t xml:space="preserve">p. Het openbaarvervoerplan met </w:t>
      </w:r>
      <w:proofErr w:type="spellStart"/>
      <w:r w:rsidRPr="00BB4206">
        <w:rPr>
          <w:rFonts w:ascii="Calibri" w:eastAsia="Times New Roman" w:hAnsi="Calibri" w:cs="Calibri"/>
          <w:color w:val="333333"/>
          <w:lang w:eastAsia="nl-BE"/>
        </w:rPr>
        <w:t>kernnet</w:t>
      </w:r>
      <w:proofErr w:type="spellEnd"/>
      <w:r w:rsidRPr="00BB4206">
        <w:rPr>
          <w:rFonts w:ascii="Calibri" w:eastAsia="Times New Roman" w:hAnsi="Calibri" w:cs="Calibri"/>
          <w:color w:val="333333"/>
          <w:lang w:eastAsia="nl-BE"/>
        </w:rPr>
        <w:t xml:space="preserve"> en aanvullend net maakt hier deel van uit.</w:t>
      </w:r>
    </w:p>
    <w:p w:rsidR="008C717B" w:rsidRDefault="008C717B" w:rsidP="008C717B">
      <w:pPr>
        <w:shd w:val="clear" w:color="auto" w:fill="FFFFFF"/>
        <w:spacing w:after="0" w:line="260" w:lineRule="exact"/>
        <w:rPr>
          <w:rFonts w:ascii="Calibri" w:eastAsia="Times New Roman" w:hAnsi="Calibri" w:cs="Calibri"/>
          <w:color w:val="333333"/>
          <w:lang w:eastAsia="nl-BE"/>
        </w:rPr>
      </w:pPr>
    </w:p>
    <w:p w:rsidR="008C717B" w:rsidRPr="00BB4206" w:rsidRDefault="008C717B" w:rsidP="008C717B">
      <w:pPr>
        <w:shd w:val="clear" w:color="auto" w:fill="FFFFFF"/>
        <w:spacing w:after="0" w:line="260" w:lineRule="exact"/>
        <w:rPr>
          <w:rFonts w:ascii="Calibri" w:eastAsia="Times New Roman" w:hAnsi="Calibri" w:cs="Calibri"/>
          <w:color w:val="333333"/>
          <w:lang w:eastAsia="nl-BE"/>
        </w:rPr>
      </w:pPr>
    </w:p>
    <w:p w:rsidR="008C717B" w:rsidRDefault="008C717B" w:rsidP="008C717B">
      <w:pPr>
        <w:spacing w:after="0" w:line="260" w:lineRule="exact"/>
        <w:rPr>
          <w:u w:val="single"/>
        </w:rPr>
      </w:pPr>
      <w:r w:rsidRPr="00BB4206">
        <w:rPr>
          <w:u w:val="single"/>
        </w:rPr>
        <w:t>Regionaal mobiliteitsplan: hoe komt het tot stand?</w:t>
      </w:r>
    </w:p>
    <w:p w:rsidR="008C717B" w:rsidRPr="00BB4206" w:rsidRDefault="008C717B" w:rsidP="008C717B">
      <w:pPr>
        <w:spacing w:after="0" w:line="260" w:lineRule="exact"/>
        <w:rPr>
          <w:u w:val="single"/>
        </w:rPr>
      </w:pPr>
    </w:p>
    <w:p w:rsidR="008C717B" w:rsidRPr="00BB4206" w:rsidRDefault="008C717B" w:rsidP="008C717B">
      <w:pPr>
        <w:spacing w:after="0" w:line="260" w:lineRule="exact"/>
      </w:pPr>
      <w:r w:rsidRPr="00BB4206">
        <w:t>In elke vervoerregio wordt tegen eind 2021 een regionaal mobiliteitsplan opgemaakt</w:t>
      </w:r>
      <w:r>
        <w:t>.</w:t>
      </w:r>
      <w:r w:rsidRPr="00BB4206">
        <w:t xml:space="preserve">  Op korte termijn (tegen eind 2020) wordt voor elke vervoerregio een openbaar vervoerplan uitgetekend dat deel uitmaakt van dit globale plan voor de regio en zal in voege gaan vanaf 2022.</w:t>
      </w:r>
    </w:p>
    <w:p w:rsidR="008C717B" w:rsidRPr="00BB4206" w:rsidRDefault="008C717B" w:rsidP="008C717B">
      <w:pPr>
        <w:spacing w:after="0" w:line="260" w:lineRule="exact"/>
      </w:pPr>
    </w:p>
    <w:p w:rsidR="008C717B" w:rsidRPr="00BB4206" w:rsidRDefault="008C717B" w:rsidP="008C717B">
      <w:pPr>
        <w:spacing w:after="0" w:line="260" w:lineRule="exact"/>
      </w:pPr>
      <w:r w:rsidRPr="00BB4206">
        <w:t xml:space="preserve">Het openbaar vervoerplan wordt gerealiseerd met de huidige budgetten. Doel is om meer bussen en trams in te zetten op die plaatsen en tijdstippen waarop het echt nodig is. Basisbereikbaarheid volgt de vraag. </w:t>
      </w:r>
    </w:p>
    <w:p w:rsidR="008C717B" w:rsidRPr="00BB4206" w:rsidRDefault="008C717B" w:rsidP="008C717B">
      <w:pPr>
        <w:spacing w:after="0" w:line="260" w:lineRule="exact"/>
      </w:pPr>
    </w:p>
    <w:p w:rsidR="008C717B" w:rsidRPr="00BB4206" w:rsidRDefault="008C717B" w:rsidP="008C717B">
      <w:pPr>
        <w:spacing w:after="0" w:line="260" w:lineRule="exact"/>
      </w:pPr>
      <w:r w:rsidRPr="00BB4206">
        <w:t xml:space="preserve">In 2018 tekende De Lijn voor elke vervoerregio ontwerpplannen voor het </w:t>
      </w:r>
      <w:proofErr w:type="spellStart"/>
      <w:r w:rsidRPr="00BB4206">
        <w:t>kernnet</w:t>
      </w:r>
      <w:proofErr w:type="spellEnd"/>
      <w:r w:rsidRPr="00BB4206">
        <w:t xml:space="preserve"> en het aanvullend net. In 2019 werden ze voorgesteld aan de vervoerregioraden en startte de dialoog.  De vervoerregioraden gaven daarop uitgebreid feedback en input. Dankzij onderzoek, analyse en doorgedreven dialoog herwerkte</w:t>
      </w:r>
      <w:r>
        <w:t xml:space="preserve"> De Lijn</w:t>
      </w:r>
      <w:r w:rsidRPr="00BB4206">
        <w:t xml:space="preserve"> vervolgens de ontwerpnetten op basis van die feedback. Zo kwamen er eind juni in alle vervoerregio’s plannen die door alle partners in de raad gedragen worden. </w:t>
      </w:r>
    </w:p>
    <w:p w:rsidR="008C717B" w:rsidRDefault="008C717B" w:rsidP="008C717B">
      <w:pPr>
        <w:shd w:val="clear" w:color="auto" w:fill="FFFFFF"/>
        <w:spacing w:after="0" w:line="260" w:lineRule="exact"/>
        <w:rPr>
          <w:rFonts w:ascii="Calibri" w:eastAsia="Times New Roman" w:hAnsi="Calibri" w:cs="Calibri"/>
          <w:color w:val="333333"/>
          <w:lang w:eastAsia="nl-BE"/>
        </w:rPr>
      </w:pPr>
    </w:p>
    <w:p w:rsidR="008C717B" w:rsidRPr="00BB4206" w:rsidRDefault="008C717B" w:rsidP="008C717B">
      <w:pPr>
        <w:shd w:val="clear" w:color="auto" w:fill="FFFFFF"/>
        <w:spacing w:after="0" w:line="260" w:lineRule="exact"/>
        <w:rPr>
          <w:rFonts w:ascii="Calibri" w:eastAsia="Times New Roman" w:hAnsi="Calibri" w:cs="Calibri"/>
          <w:color w:val="333333"/>
          <w:lang w:eastAsia="nl-BE"/>
        </w:rPr>
      </w:pPr>
    </w:p>
    <w:p w:rsidR="008C717B" w:rsidRDefault="008C717B" w:rsidP="008C717B">
      <w:pPr>
        <w:shd w:val="clear" w:color="auto" w:fill="FFFFFF"/>
        <w:spacing w:after="0" w:line="260" w:lineRule="exact"/>
        <w:rPr>
          <w:rFonts w:ascii="Calibri" w:eastAsia="Times New Roman" w:hAnsi="Calibri" w:cs="Calibri"/>
          <w:color w:val="333333"/>
          <w:u w:val="single"/>
          <w:lang w:eastAsia="nl-BE"/>
        </w:rPr>
      </w:pPr>
      <w:r w:rsidRPr="00BB4206">
        <w:rPr>
          <w:rFonts w:ascii="Calibri" w:eastAsia="Times New Roman" w:hAnsi="Calibri" w:cs="Calibri"/>
          <w:color w:val="333333"/>
          <w:u w:val="single"/>
          <w:lang w:eastAsia="nl-BE"/>
        </w:rPr>
        <w:t>Wie is er actief in de vervoerregioraad? </w:t>
      </w:r>
    </w:p>
    <w:p w:rsidR="008C717B" w:rsidRPr="00BB4206" w:rsidRDefault="008C717B" w:rsidP="008C717B">
      <w:pPr>
        <w:shd w:val="clear" w:color="auto" w:fill="FFFFFF"/>
        <w:spacing w:after="0" w:line="260" w:lineRule="exact"/>
        <w:rPr>
          <w:rFonts w:ascii="Calibri" w:eastAsia="Times New Roman" w:hAnsi="Calibri" w:cs="Calibri"/>
          <w:color w:val="333333"/>
          <w:u w:val="single"/>
          <w:lang w:eastAsia="nl-BE"/>
        </w:rPr>
      </w:pPr>
    </w:p>
    <w:p w:rsidR="008C717B" w:rsidRPr="00BB4206" w:rsidRDefault="008C717B" w:rsidP="008C717B">
      <w:pPr>
        <w:numPr>
          <w:ilvl w:val="0"/>
          <w:numId w:val="1"/>
        </w:numPr>
        <w:shd w:val="clear" w:color="auto" w:fill="FFFFFF"/>
        <w:spacing w:after="0" w:line="260" w:lineRule="exact"/>
        <w:rPr>
          <w:rFonts w:ascii="Calibri" w:eastAsia="Times New Roman" w:hAnsi="Calibri" w:cs="Calibri"/>
          <w:color w:val="333333"/>
          <w:lang w:eastAsia="nl-BE"/>
        </w:rPr>
      </w:pPr>
      <w:r w:rsidRPr="00BB4206">
        <w:rPr>
          <w:rFonts w:ascii="Calibri" w:eastAsia="Times New Roman" w:hAnsi="Calibri" w:cs="Calibri"/>
          <w:color w:val="333333"/>
          <w:lang w:eastAsia="nl-BE"/>
        </w:rPr>
        <w:t>De betrokken steden en gemeenten</w:t>
      </w:r>
    </w:p>
    <w:p w:rsidR="008C717B" w:rsidRPr="00BB4206" w:rsidRDefault="008C717B" w:rsidP="008C717B">
      <w:pPr>
        <w:numPr>
          <w:ilvl w:val="0"/>
          <w:numId w:val="1"/>
        </w:numPr>
        <w:shd w:val="clear" w:color="auto" w:fill="FFFFFF"/>
        <w:spacing w:after="0" w:line="260" w:lineRule="exact"/>
        <w:rPr>
          <w:rFonts w:ascii="Calibri" w:eastAsia="Times New Roman" w:hAnsi="Calibri" w:cs="Calibri"/>
          <w:color w:val="333333"/>
          <w:lang w:eastAsia="nl-BE"/>
        </w:rPr>
      </w:pPr>
      <w:r>
        <w:rPr>
          <w:rFonts w:ascii="Calibri" w:eastAsia="Times New Roman" w:hAnsi="Calibri" w:cs="Calibri"/>
          <w:color w:val="333333"/>
          <w:lang w:eastAsia="nl-BE"/>
        </w:rPr>
        <w:t>M</w:t>
      </w:r>
      <w:r w:rsidRPr="00BB4206">
        <w:rPr>
          <w:rFonts w:ascii="Calibri" w:eastAsia="Times New Roman" w:hAnsi="Calibri" w:cs="Calibri"/>
          <w:color w:val="333333"/>
          <w:lang w:eastAsia="nl-BE"/>
        </w:rPr>
        <w:t>obiliteitspartners zoals Infrabel en NMBS </w:t>
      </w:r>
    </w:p>
    <w:p w:rsidR="008C717B" w:rsidRDefault="008C717B" w:rsidP="008C717B">
      <w:pPr>
        <w:numPr>
          <w:ilvl w:val="0"/>
          <w:numId w:val="1"/>
        </w:numPr>
        <w:shd w:val="clear" w:color="auto" w:fill="FFFFFF"/>
        <w:spacing w:after="0" w:line="260" w:lineRule="exact"/>
        <w:rPr>
          <w:rFonts w:ascii="Calibri" w:eastAsia="Times New Roman" w:hAnsi="Calibri" w:cs="Calibri"/>
          <w:color w:val="333333"/>
          <w:lang w:eastAsia="nl-BE"/>
        </w:rPr>
      </w:pPr>
      <w:r>
        <w:rPr>
          <w:rFonts w:ascii="Calibri" w:eastAsia="Times New Roman" w:hAnsi="Calibri" w:cs="Calibri"/>
          <w:color w:val="333333"/>
          <w:lang w:eastAsia="nl-BE"/>
        </w:rPr>
        <w:t>H</w:t>
      </w:r>
      <w:r w:rsidRPr="00BB4206">
        <w:rPr>
          <w:rFonts w:ascii="Calibri" w:eastAsia="Times New Roman" w:hAnsi="Calibri" w:cs="Calibri"/>
          <w:color w:val="333333"/>
          <w:lang w:eastAsia="nl-BE"/>
        </w:rPr>
        <w:t xml:space="preserve">et team MOW met vertegenwoordigers van het departement Mobiliteit &amp; Openbare Werken, het Agentschap Wegen en Verkeer (AWV), de Vlaamse Waterweg, Maritieme Dienstverlening en Kust en </w:t>
      </w:r>
      <w:r>
        <w:rPr>
          <w:rFonts w:ascii="Calibri" w:eastAsia="Times New Roman" w:hAnsi="Calibri" w:cs="Calibri"/>
          <w:color w:val="333333"/>
          <w:lang w:eastAsia="nl-BE"/>
        </w:rPr>
        <w:t>De Lijn</w:t>
      </w:r>
      <w:r w:rsidRPr="00BB4206">
        <w:rPr>
          <w:rFonts w:ascii="Calibri" w:eastAsia="Times New Roman" w:hAnsi="Calibri" w:cs="Calibri"/>
          <w:color w:val="333333"/>
          <w:lang w:eastAsia="nl-BE"/>
        </w:rPr>
        <w:t>. </w:t>
      </w:r>
    </w:p>
    <w:p w:rsidR="008C717B" w:rsidRDefault="008C717B" w:rsidP="008C717B">
      <w:pPr>
        <w:shd w:val="clear" w:color="auto" w:fill="FFFFFF"/>
        <w:spacing w:after="0" w:line="260" w:lineRule="exact"/>
        <w:ind w:left="720"/>
        <w:rPr>
          <w:rFonts w:ascii="Calibri" w:eastAsia="Times New Roman" w:hAnsi="Calibri" w:cs="Calibri"/>
          <w:color w:val="333333"/>
          <w:lang w:eastAsia="nl-BE"/>
        </w:rPr>
      </w:pPr>
    </w:p>
    <w:p w:rsidR="008C717B" w:rsidRPr="00BB4206" w:rsidRDefault="008C717B" w:rsidP="008C717B">
      <w:pPr>
        <w:shd w:val="clear" w:color="auto" w:fill="FFFFFF"/>
        <w:spacing w:after="0" w:line="260" w:lineRule="exact"/>
        <w:ind w:left="720"/>
        <w:rPr>
          <w:rFonts w:ascii="Calibri" w:eastAsia="Times New Roman" w:hAnsi="Calibri" w:cs="Calibri"/>
          <w:color w:val="333333"/>
          <w:lang w:eastAsia="nl-BE"/>
        </w:rPr>
      </w:pPr>
      <w:bookmarkStart w:id="0" w:name="_GoBack"/>
      <w:bookmarkEnd w:id="0"/>
    </w:p>
    <w:p w:rsidR="008C717B" w:rsidRPr="00BB4206" w:rsidRDefault="008C717B" w:rsidP="008C717B">
      <w:pPr>
        <w:spacing w:after="0" w:line="260" w:lineRule="exact"/>
      </w:pPr>
    </w:p>
    <w:tbl>
      <w:tblPr>
        <w:tblW w:w="5000" w:type="pct"/>
        <w:tblCellMar>
          <w:top w:w="15" w:type="dxa"/>
          <w:left w:w="15" w:type="dxa"/>
          <w:bottom w:w="15" w:type="dxa"/>
          <w:right w:w="15" w:type="dxa"/>
        </w:tblCellMar>
        <w:tblLook w:val="04A0" w:firstRow="1" w:lastRow="0" w:firstColumn="1" w:lastColumn="0" w:noHBand="0" w:noVBand="1"/>
      </w:tblPr>
      <w:tblGrid>
        <w:gridCol w:w="1343"/>
        <w:gridCol w:w="3090"/>
        <w:gridCol w:w="2880"/>
        <w:gridCol w:w="1743"/>
      </w:tblGrid>
      <w:tr w:rsidR="008C717B" w:rsidRPr="00BB4206" w:rsidTr="00855890">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tcPr>
          <w:p w:rsidR="008C717B" w:rsidRPr="00BB4206" w:rsidRDefault="008C717B" w:rsidP="00855890">
            <w:pPr>
              <w:spacing w:after="0" w:line="240" w:lineRule="auto"/>
              <w:rPr>
                <w:rFonts w:eastAsia="Times New Roman" w:cstheme="minorHAnsi"/>
                <w:b/>
                <w:bCs/>
                <w:lang w:eastAsia="nl-BE"/>
              </w:rPr>
            </w:pP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tcPr>
          <w:p w:rsidR="008C717B" w:rsidRPr="00BB4206" w:rsidRDefault="008C717B" w:rsidP="00855890">
            <w:pPr>
              <w:spacing w:after="0" w:line="240" w:lineRule="auto"/>
              <w:rPr>
                <w:rFonts w:eastAsia="Times New Roman" w:cstheme="minorHAnsi"/>
                <w:b/>
                <w:bCs/>
                <w:lang w:eastAsia="nl-BE"/>
              </w:rPr>
            </w:pPr>
            <w:r w:rsidRPr="00BB4206">
              <w:rPr>
                <w:rFonts w:eastAsia="Times New Roman" w:cstheme="minorHAnsi"/>
                <w:b/>
                <w:bCs/>
                <w:lang w:eastAsia="nl-BE"/>
              </w:rPr>
              <w:t>Wie beslist</w:t>
            </w:r>
            <w:r>
              <w:rPr>
                <w:rFonts w:eastAsia="Times New Roman" w:cstheme="minorHAnsi"/>
                <w:b/>
                <w:bCs/>
                <w:lang w:eastAsia="nl-BE"/>
              </w:rPr>
              <w: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tcPr>
          <w:p w:rsidR="008C717B" w:rsidRPr="00BB4206" w:rsidRDefault="008C717B" w:rsidP="00855890">
            <w:pPr>
              <w:spacing w:after="0" w:line="240" w:lineRule="auto"/>
              <w:rPr>
                <w:rFonts w:eastAsia="Times New Roman" w:cstheme="minorHAnsi"/>
                <w:b/>
                <w:bCs/>
                <w:lang w:eastAsia="nl-BE"/>
              </w:rPr>
            </w:pPr>
            <w:r w:rsidRPr="00BB4206">
              <w:rPr>
                <w:rFonts w:eastAsia="Times New Roman" w:cstheme="minorHAnsi"/>
                <w:b/>
                <w:bCs/>
                <w:lang w:eastAsia="nl-BE"/>
              </w:rPr>
              <w:t>Wie voert uit</w:t>
            </w:r>
            <w:r>
              <w:rPr>
                <w:rFonts w:eastAsia="Times New Roman" w:cstheme="minorHAnsi"/>
                <w:b/>
                <w:bCs/>
                <w:lang w:eastAsia="nl-BE"/>
              </w:rPr>
              <w: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tcPr>
          <w:p w:rsidR="008C717B" w:rsidRPr="00BB4206" w:rsidRDefault="008C717B" w:rsidP="00855890">
            <w:pPr>
              <w:spacing w:after="150" w:line="240" w:lineRule="auto"/>
              <w:rPr>
                <w:rFonts w:eastAsia="Times New Roman" w:cstheme="minorHAnsi"/>
                <w:b/>
                <w:bCs/>
                <w:lang w:eastAsia="nl-BE"/>
              </w:rPr>
            </w:pPr>
            <w:r w:rsidRPr="00BB4206">
              <w:rPr>
                <w:rFonts w:eastAsia="Times New Roman" w:cstheme="minorHAnsi"/>
                <w:b/>
                <w:bCs/>
                <w:lang w:eastAsia="nl-BE"/>
              </w:rPr>
              <w:t xml:space="preserve">Wie volgt op en evalueert? </w:t>
            </w:r>
          </w:p>
        </w:tc>
      </w:tr>
      <w:tr w:rsidR="008C717B" w:rsidRPr="00BB4206" w:rsidTr="00855890">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b/>
                <w:bCs/>
                <w:lang w:eastAsia="nl-BE"/>
              </w:rPr>
              <w:t>Treinnet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NMBS beslist</w:t>
            </w:r>
          </w:p>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VVR adviseert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NMBS als interne operator</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150" w:line="240" w:lineRule="auto"/>
              <w:rPr>
                <w:rFonts w:eastAsia="Times New Roman" w:cstheme="minorHAnsi"/>
                <w:lang w:eastAsia="nl-BE"/>
              </w:rPr>
            </w:pPr>
            <w:r w:rsidRPr="00BB4206">
              <w:rPr>
                <w:rFonts w:eastAsia="Times New Roman" w:cstheme="minorHAnsi"/>
                <w:lang w:eastAsia="nl-BE"/>
              </w:rPr>
              <w:t>Departement MOW</w:t>
            </w:r>
          </w:p>
        </w:tc>
      </w:tr>
      <w:tr w:rsidR="008C717B" w:rsidRPr="00BB4206" w:rsidTr="00855890">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proofErr w:type="spellStart"/>
            <w:r w:rsidRPr="00BB4206">
              <w:rPr>
                <w:rFonts w:eastAsia="Times New Roman" w:cstheme="minorHAnsi"/>
                <w:b/>
                <w:bCs/>
                <w:lang w:eastAsia="nl-BE"/>
              </w:rPr>
              <w:t>Kernnet</w:t>
            </w:r>
            <w:proofErr w:type="spellEnd"/>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De Lijn als interne operator stelt voor en de minister beslist (haltes en reiswegen)</w:t>
            </w:r>
          </w:p>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lastRenderedPageBreak/>
              <w:t>VVR adviseert</w:t>
            </w:r>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lastRenderedPageBreak/>
              <w:t>De Lijn als interne operator</w:t>
            </w:r>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150" w:line="240" w:lineRule="auto"/>
              <w:rPr>
                <w:rFonts w:eastAsia="Times New Roman" w:cstheme="minorHAnsi"/>
                <w:lang w:eastAsia="nl-BE"/>
              </w:rPr>
            </w:pPr>
            <w:r w:rsidRPr="00BB4206">
              <w:rPr>
                <w:rFonts w:eastAsia="Times New Roman" w:cstheme="minorHAnsi"/>
                <w:lang w:eastAsia="nl-BE"/>
              </w:rPr>
              <w:t>Departement MOW</w:t>
            </w:r>
          </w:p>
        </w:tc>
      </w:tr>
      <w:tr w:rsidR="008C717B" w:rsidRPr="00BB4206" w:rsidTr="00855890">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b/>
                <w:bCs/>
                <w:lang w:eastAsia="nl-BE"/>
              </w:rPr>
              <w:t>Aanvullend net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De Lijn als interne operator stelt voor</w:t>
            </w:r>
          </w:p>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VVR beslist</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De Lijn als interne operator</w:t>
            </w:r>
          </w:p>
        </w:tc>
        <w:tc>
          <w:tcPr>
            <w:tcW w:w="0" w:type="auto"/>
            <w:tcBorders>
              <w:top w:val="single" w:sz="6" w:space="0" w:color="C6C6C6"/>
              <w:left w:val="single" w:sz="6" w:space="0" w:color="C6C6C6"/>
              <w:bottom w:val="single" w:sz="6" w:space="0" w:color="C6C6C6"/>
              <w:right w:val="single" w:sz="6" w:space="0" w:color="C6C6C6"/>
            </w:tcBorders>
            <w:shd w:val="clear" w:color="auto" w:fill="F9F9F6"/>
            <w:tcMar>
              <w:top w:w="105" w:type="dxa"/>
              <w:left w:w="75" w:type="dxa"/>
              <w:bottom w:w="90" w:type="dxa"/>
              <w:right w:w="75" w:type="dxa"/>
            </w:tcMar>
            <w:hideMark/>
          </w:tcPr>
          <w:p w:rsidR="008C717B" w:rsidRPr="00BB4206" w:rsidRDefault="008C717B" w:rsidP="00855890">
            <w:pPr>
              <w:spacing w:after="150" w:line="240" w:lineRule="auto"/>
              <w:rPr>
                <w:rFonts w:eastAsia="Times New Roman" w:cstheme="minorHAnsi"/>
                <w:lang w:eastAsia="nl-BE"/>
              </w:rPr>
            </w:pPr>
            <w:r w:rsidRPr="00BB4206">
              <w:rPr>
                <w:rFonts w:eastAsia="Times New Roman" w:cstheme="minorHAnsi"/>
                <w:lang w:eastAsia="nl-BE"/>
              </w:rPr>
              <w:t>Departement MOW</w:t>
            </w:r>
          </w:p>
        </w:tc>
      </w:tr>
      <w:tr w:rsidR="008C717B" w:rsidRPr="00BB4206" w:rsidTr="00855890">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b/>
                <w:bCs/>
                <w:lang w:eastAsia="nl-BE"/>
              </w:rPr>
              <w:t>Vervoer op maat</w:t>
            </w:r>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VVR stelt voor en beslist (aanbod, reisweg en tarieven)</w:t>
            </w:r>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Mobiliteitscentrale (aanbesteding departement MOW)</w:t>
            </w:r>
          </w:p>
          <w:p w:rsidR="008C717B" w:rsidRPr="00BB4206" w:rsidRDefault="008C717B" w:rsidP="00855890">
            <w:pPr>
              <w:spacing w:after="0" w:line="240" w:lineRule="auto"/>
              <w:rPr>
                <w:rFonts w:eastAsia="Times New Roman" w:cstheme="minorHAnsi"/>
                <w:lang w:eastAsia="nl-BE"/>
              </w:rPr>
            </w:pPr>
            <w:r w:rsidRPr="00BB4206">
              <w:rPr>
                <w:rFonts w:eastAsia="Times New Roman" w:cstheme="minorHAnsi"/>
                <w:lang w:eastAsia="nl-BE"/>
              </w:rPr>
              <w:t>Externe vervoerders (aanbesteding departement MOW)</w:t>
            </w:r>
          </w:p>
        </w:tc>
        <w:tc>
          <w:tcPr>
            <w:tcW w:w="0" w:type="auto"/>
            <w:tcBorders>
              <w:top w:val="single" w:sz="6" w:space="0" w:color="C6C6C6"/>
              <w:left w:val="single" w:sz="6" w:space="0" w:color="C6C6C6"/>
              <w:bottom w:val="single" w:sz="6" w:space="0" w:color="C6C6C6"/>
              <w:right w:val="single" w:sz="6" w:space="0" w:color="C6C6C6"/>
            </w:tcBorders>
            <w:shd w:val="clear" w:color="auto" w:fill="EEEEE7"/>
            <w:tcMar>
              <w:top w:w="105" w:type="dxa"/>
              <w:left w:w="75" w:type="dxa"/>
              <w:bottom w:w="90" w:type="dxa"/>
              <w:right w:w="75" w:type="dxa"/>
            </w:tcMar>
            <w:hideMark/>
          </w:tcPr>
          <w:p w:rsidR="008C717B" w:rsidRPr="00BB4206" w:rsidRDefault="008C717B" w:rsidP="00855890">
            <w:pPr>
              <w:spacing w:after="150" w:line="240" w:lineRule="auto"/>
              <w:rPr>
                <w:rFonts w:eastAsia="Times New Roman" w:cstheme="minorHAnsi"/>
                <w:lang w:eastAsia="nl-BE"/>
              </w:rPr>
            </w:pPr>
            <w:r w:rsidRPr="00BB4206">
              <w:rPr>
                <w:rFonts w:eastAsia="Times New Roman" w:cstheme="minorHAnsi"/>
                <w:lang w:eastAsia="nl-BE"/>
              </w:rPr>
              <w:t>Departement MOW</w:t>
            </w:r>
          </w:p>
        </w:tc>
      </w:tr>
    </w:tbl>
    <w:p w:rsidR="008C717B" w:rsidRDefault="008C717B" w:rsidP="008C717B">
      <w:pPr>
        <w:shd w:val="clear" w:color="auto" w:fill="FFFFFF"/>
        <w:spacing w:after="150" w:line="240" w:lineRule="auto"/>
        <w:rPr>
          <w:rFonts w:eastAsia="Times New Roman" w:cstheme="minorHAnsi"/>
          <w:color w:val="333333"/>
          <w:lang w:eastAsia="nl-BE"/>
        </w:rPr>
      </w:pPr>
    </w:p>
    <w:p w:rsidR="008C717B" w:rsidRPr="00BB4206" w:rsidRDefault="008C717B" w:rsidP="008C717B">
      <w:pPr>
        <w:shd w:val="clear" w:color="auto" w:fill="FFFFFF"/>
        <w:spacing w:after="150" w:line="240" w:lineRule="auto"/>
        <w:rPr>
          <w:rFonts w:eastAsia="Times New Roman" w:cstheme="minorHAnsi"/>
          <w:color w:val="333333"/>
          <w:lang w:eastAsia="nl-BE"/>
        </w:rPr>
      </w:pPr>
      <w:r w:rsidRPr="00BB4206">
        <w:rPr>
          <w:rFonts w:eastAsia="Times New Roman" w:cstheme="minorHAnsi"/>
          <w:color w:val="333333"/>
          <w:lang w:eastAsia="nl-BE"/>
        </w:rPr>
        <w:t>*MOW = Mobiliteit &amp; Openbare Werken</w:t>
      </w:r>
    </w:p>
    <w:p w:rsidR="008C717B" w:rsidRPr="00BB4206" w:rsidRDefault="008C717B" w:rsidP="008C717B">
      <w:pPr>
        <w:shd w:val="clear" w:color="auto" w:fill="FFFFFF"/>
        <w:spacing w:after="150" w:line="240" w:lineRule="auto"/>
        <w:rPr>
          <w:rFonts w:eastAsia="Times New Roman" w:cstheme="minorHAnsi"/>
          <w:color w:val="333333"/>
          <w:lang w:eastAsia="nl-BE"/>
        </w:rPr>
      </w:pPr>
      <w:r w:rsidRPr="00BB4206">
        <w:rPr>
          <w:rFonts w:eastAsia="Times New Roman" w:cstheme="minorHAnsi"/>
          <w:color w:val="333333"/>
          <w:lang w:eastAsia="nl-BE"/>
        </w:rPr>
        <w:t>*VVR = Vervoerregioraad</w:t>
      </w:r>
    </w:p>
    <w:p w:rsidR="005C715C" w:rsidRPr="008C717B" w:rsidRDefault="005C715C" w:rsidP="008C717B">
      <w:pPr>
        <w:spacing w:after="0" w:line="260" w:lineRule="exact"/>
        <w:rPr>
          <w:rFonts w:cstheme="minorHAnsi"/>
        </w:rPr>
      </w:pPr>
    </w:p>
    <w:sectPr w:rsidR="005C715C" w:rsidRPr="008C7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073DD"/>
    <w:multiLevelType w:val="multilevel"/>
    <w:tmpl w:val="64A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B"/>
    <w:rsid w:val="005C715C"/>
    <w:rsid w:val="008C71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143C"/>
  <w15:chartTrackingRefBased/>
  <w15:docId w15:val="{111EAF75-6619-4D68-8667-0B288E24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71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2113</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Hulhoven</dc:creator>
  <cp:keywords/>
  <dc:description/>
  <cp:lastModifiedBy>Astrid Hulhoven</cp:lastModifiedBy>
  <cp:revision>1</cp:revision>
  <dcterms:created xsi:type="dcterms:W3CDTF">2020-10-07T11:40:00Z</dcterms:created>
  <dcterms:modified xsi:type="dcterms:W3CDTF">2020-10-07T11:41:00Z</dcterms:modified>
</cp:coreProperties>
</file>